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25 (Billable Works and Projects)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schedule prescribes the procedure, calculations and rates to be used by the Buyer and Supplier when assessing the Charges for</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Billable Works and Projects.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the avoidance of doubt, nothing in this Schedule shall give the Supplier exclusive rights over Billable Works and Projects and the Buyer shall not be required to order Billable Works or Projects from the Supplier, and shall be entitled to order Billable Works and Projects from other Suppliers.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reserves the right to vary or amend this Schedule a</w:t>
      </w:r>
      <w:r w:rsidDel="00000000" w:rsidR="00000000" w:rsidRPr="00000000">
        <w:rPr>
          <w:rFonts w:ascii="Arial" w:cs="Arial" w:eastAsia="Arial" w:hAnsi="Arial"/>
          <w:sz w:val="24"/>
          <w:szCs w:val="24"/>
          <w:rtl w:val="0"/>
        </w:rPr>
        <w:t xml:space="preserve">s part of a Call Off Award Procedure</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be applied against the cost of the Billable Works.</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1080" w:firstLine="0"/>
        <w:jc w:val="left"/>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include the costs of:</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color w:val="222222"/>
          <w:sz w:val="24"/>
          <w:szCs w:val="24"/>
          <w:highlight w:val="white"/>
          <w:rtl w:val="0"/>
        </w:rPr>
        <w:t xml:space="preserve">processing and managing the quotation/tenders within each tier as per the Buyer’s process;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management of Billable Works;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color w:val="222222"/>
          <w:sz w:val="24"/>
          <w:szCs w:val="24"/>
          <w:highlight w:val="white"/>
          <w:rtl w:val="0"/>
        </w:rPr>
        <w:t xml:space="preserve">management of subcontractors</w:t>
      </w:r>
      <w:r w:rsidDel="00000000" w:rsidR="00000000" w:rsidRPr="00000000">
        <w:rPr>
          <w:rFonts w:ascii="Arial" w:cs="Arial" w:eastAsia="Arial" w:hAnsi="Arial"/>
          <w:color w:val="222222"/>
          <w:sz w:val="24"/>
          <w:szCs w:val="24"/>
          <w:rtl w:val="0"/>
        </w:rPr>
        <w:t xml:space="preserve"> (where applicable); and</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222222"/>
          <w:sz w:val="24"/>
          <w:szCs w:val="24"/>
          <w:rtl w:val="0"/>
        </w:rPr>
        <w:t xml:space="preserve">day to day administration.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Billable Works Management Uplift Percentage shall not be applied to any service delivery costs which are expected to be included in the pricing of the Billable Works.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and executed by the Supplier;</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Any estimate/quotation for Billable Works shall break down the costs into the categories below:</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labour;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materials;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applicable cost categories as the Buyer may notify to the Supplier from time to time;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Billable Works Management Uplift Percentage (which includes Overhead);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profit. </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Billable Works are delivered directly via the Supplier’s appointed Sub</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ontractor the estimate/quotation shall breakdown the cost categories as per 2.5.1 – 2.5.5 and shall also include:</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name</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total cost (including Subcontractor’s profit and overhead)</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The application of the Billable Works Management Uplift Percentage and Profit percentages shall be as follows:</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Calculate sum total of costs defined in paragraph 2.5.1 – 2.5.4</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Billable Works Management Uplift Percentage as per 2.5.4 </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profit as per 2.5.5 </w:t>
      </w:r>
    </w:p>
    <w:p w:rsidR="00000000" w:rsidDel="00000000" w:rsidP="00000000" w:rsidRDefault="00000000" w:rsidRPr="00000000" w14:paraId="00000023">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numPr>
          <w:ilvl w:val="0"/>
          <w:numId w:val="1"/>
        </w:numPr>
        <w:spacing w:after="12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Quotations and Tenders for Billable Works</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Where the Buyer gives instructions to the Supplier to manage and/or execute Billable Works according to </w:t>
      </w:r>
      <w:r w:rsidDel="00000000" w:rsidR="00000000" w:rsidRPr="00000000">
        <w:rPr>
          <w:rFonts w:ascii="Arial" w:cs="Arial" w:eastAsia="Arial" w:hAnsi="Arial"/>
          <w:sz w:val="24"/>
          <w:szCs w:val="24"/>
          <w:rtl w:val="0"/>
        </w:rPr>
        <w:t xml:space="preserve">the estimated value range</w:t>
      </w:r>
      <w:r w:rsidDel="00000000" w:rsidR="00000000" w:rsidRPr="00000000">
        <w:rPr>
          <w:rFonts w:ascii="Arial" w:cs="Arial" w:eastAsia="Arial" w:hAnsi="Arial"/>
          <w:color w:val="000000"/>
          <w:sz w:val="24"/>
          <w:szCs w:val="24"/>
          <w:rtl w:val="0"/>
        </w:rPr>
        <w:t xml:space="preserve">s, unless otherwise stated at Call Off </w:t>
      </w:r>
      <w:r w:rsidDel="00000000" w:rsidR="00000000" w:rsidRPr="00000000">
        <w:rPr>
          <w:rFonts w:ascii="Arial" w:cs="Arial" w:eastAsia="Arial" w:hAnsi="Arial"/>
          <w:sz w:val="24"/>
          <w:szCs w:val="24"/>
          <w:rtl w:val="0"/>
        </w:rPr>
        <w:t xml:space="preserve">within the Order Form:</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Tier</w:t>
      </w:r>
      <w:r w:rsidDel="00000000" w:rsidR="00000000" w:rsidRPr="00000000">
        <w:rPr>
          <w:rFonts w:ascii="Arial" w:cs="Arial" w:eastAsia="Arial" w:hAnsi="Arial"/>
          <w:color w:val="000000"/>
          <w:sz w:val="24"/>
          <w:szCs w:val="24"/>
          <w:rtl w:val="0"/>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Billable Works are to be undertaken by other Supplier appointed third parties,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Buyer allows the Supplier to both manage the tender process and tender for the Billable Works, the Supplier shall ensure appropriate Ethical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all arrangements are in place to prevent conflicts of interest and that the Public Contract Regulations (2015) are adhered to.</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sz w:val="28"/>
          <w:szCs w:val="28"/>
        </w:rPr>
      </w:pPr>
      <w:r w:rsidDel="00000000" w:rsidR="00000000" w:rsidRPr="00000000">
        <w:rPr>
          <w:rFonts w:ascii="Arial" w:cs="Arial" w:eastAsia="Arial" w:hAnsi="Arial"/>
          <w:color w:val="202124"/>
          <w:sz w:val="24"/>
          <w:szCs w:val="24"/>
          <w:highlight w:val="white"/>
          <w:rtl w:val="0"/>
        </w:rPr>
        <w:t xml:space="preserve">The terms and conditions for Billable Works will be as per those in the PSC unless otherwise specified by the Buyer under their defined procurement process.</w:t>
      </w:r>
      <w:r w:rsidDel="00000000" w:rsidR="00000000" w:rsidRPr="00000000">
        <w:rPr>
          <w:rtl w:val="0"/>
        </w:rPr>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up to the value specified in the Order Form (Billable</w:t>
      </w:r>
      <w:r w:rsidDel="00000000" w:rsidR="00000000" w:rsidRPr="00000000">
        <w:rPr>
          <w:rFonts w:ascii="Arial" w:cs="Arial" w:eastAsia="Arial" w:hAnsi="Arial"/>
          <w:sz w:val="24"/>
          <w:szCs w:val="24"/>
          <w:rtl w:val="0"/>
        </w:rPr>
        <w:t xml:space="preserve"> Works not requiring approval)</w:t>
      </w:r>
      <w:r w:rsidDel="00000000" w:rsidR="00000000" w:rsidRPr="00000000">
        <w:rPr>
          <w:rFonts w:ascii="Arial" w:cs="Arial" w:eastAsia="Arial" w:hAnsi="Arial"/>
          <w:color w:val="000000"/>
          <w:sz w:val="24"/>
          <w:szCs w:val="24"/>
          <w:rtl w:val="0"/>
        </w:rPr>
        <w:t xml:space="preserve">; or</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Billable Works arise as a result of any:</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that are Small Works;</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Billable Works shall not proceed until an instruction is received from the Buyer in writing or via the Service Management Platform or Computer Aided Facilities Management (CAFM) System. </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Quotations for Billable Works may include the Billable Works Management Uplift Percentage (if applicable) as per the rates submitted in the Pricing Matrix.</w:t>
      </w:r>
      <w:r w:rsidDel="00000000" w:rsidR="00000000" w:rsidRPr="00000000">
        <w:rPr>
          <w:rtl w:val="0"/>
        </w:rPr>
      </w:r>
    </w:p>
    <w:p w:rsidR="00000000" w:rsidDel="00000000" w:rsidP="00000000" w:rsidRDefault="00000000" w:rsidRPr="00000000" w14:paraId="00000034">
      <w:pPr>
        <w:numPr>
          <w:ilvl w:val="1"/>
          <w:numId w:val="1"/>
        </w:numPr>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5">
      <w:pPr>
        <w:numPr>
          <w:ilvl w:val="2"/>
          <w:numId w:val="1"/>
        </w:numPr>
        <w:tabs>
          <w:tab w:val="left" w:leader="none" w:pos="1985"/>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On receipt of the Supplier’s breakdown and evidence, the Buyer shall either:</w:t>
      </w:r>
      <w:r w:rsidDel="00000000" w:rsidR="00000000" w:rsidRPr="00000000">
        <w:rPr>
          <w:rtl w:val="0"/>
        </w:rPr>
      </w:r>
    </w:p>
    <w:p w:rsidR="00000000" w:rsidDel="00000000" w:rsidP="00000000" w:rsidRDefault="00000000" w:rsidRPr="00000000" w14:paraId="00000036">
      <w:pPr>
        <w:numPr>
          <w:ilvl w:val="3"/>
          <w:numId w:val="2"/>
        </w:numP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Notify the Supplier in writing of acceptance of the costs;</w:t>
      </w:r>
    </w:p>
    <w:p w:rsidR="00000000" w:rsidDel="00000000" w:rsidP="00000000" w:rsidRDefault="00000000" w:rsidRPr="00000000" w14:paraId="00000037">
      <w:pPr>
        <w:numPr>
          <w:ilvl w:val="3"/>
          <w:numId w:val="2"/>
        </w:numP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further information/evidence; and/or</w:t>
      </w:r>
    </w:p>
    <w:p w:rsidR="00000000" w:rsidDel="00000000" w:rsidP="00000000" w:rsidRDefault="00000000" w:rsidRPr="00000000" w14:paraId="00000038">
      <w:pPr>
        <w:numPr>
          <w:ilvl w:val="3"/>
          <w:numId w:val="2"/>
        </w:numP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a meeting to discuss/clarify the evidence provided.</w:t>
      </w:r>
    </w:p>
    <w:p w:rsidR="00000000" w:rsidDel="00000000" w:rsidP="00000000" w:rsidRDefault="00000000" w:rsidRPr="00000000" w14:paraId="00000039">
      <w:pPr>
        <w:numPr>
          <w:ilvl w:val="1"/>
          <w:numId w:val="1"/>
        </w:numPr>
        <w:tabs>
          <w:tab w:val="left" w:leader="none"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3A">
      <w:pPr>
        <w:numPr>
          <w:ilvl w:val="1"/>
          <w:numId w:val="1"/>
        </w:numPr>
        <w:tabs>
          <w:tab w:val="left" w:leader="none"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0" w:hanging="360"/>
        <w:rPr>
          <w:rFonts w:ascii="Arial" w:cs="Arial" w:eastAsia="Arial" w:hAnsi="Arial"/>
        </w:rPr>
      </w:pPr>
      <w:r w:rsidDel="00000000" w:rsidR="00000000" w:rsidRPr="00000000">
        <w:rPr>
          <w:rFonts w:ascii="Arial" w:cs="Arial" w:eastAsia="Arial" w:hAnsi="Arial"/>
          <w:b w:val="1"/>
          <w:smallCaps w:val="1"/>
          <w:sz w:val="24"/>
          <w:szCs w:val="24"/>
          <w:rtl w:val="0"/>
        </w:rPr>
        <w:t xml:space="preserve">Not used</w:t>
      </w:r>
      <w:r w:rsidDel="00000000" w:rsidR="00000000" w:rsidRPr="00000000">
        <w:rPr>
          <w:rtl w:val="0"/>
        </w:rPr>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before="240" w:lineRule="auto"/>
        <w:ind w:left="0" w:hanging="360"/>
        <w:rPr>
          <w:rFonts w:ascii="Arial" w:cs="Arial" w:eastAsia="Arial" w:hAnsi="Arial"/>
        </w:rPr>
      </w:pPr>
      <w:bookmarkStart w:colFirst="0" w:colLast="0" w:name="_heading=h.3dy6vkm" w:id="6"/>
      <w:bookmarkEnd w:id="6"/>
      <w:r w:rsidDel="00000000" w:rsidR="00000000" w:rsidRPr="00000000">
        <w:rPr>
          <w:rFonts w:ascii="Arial" w:cs="Arial" w:eastAsia="Arial" w:hAnsi="Arial"/>
          <w:b w:val="1"/>
          <w:sz w:val="24"/>
          <w:szCs w:val="24"/>
          <w:rtl w:val="0"/>
        </w:rPr>
        <w:t xml:space="preserve">General Projects</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the Buyer decides at its sole discretion that the scope of any Billable Works are such that they require a defined management approach, this will be deemed to be a General Project and not a Billable Work and the management approach will be defined by the Buyer at Further Competition</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985"/>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w:t>
      </w:r>
      <w:r w:rsidDel="00000000" w:rsidR="00000000" w:rsidRPr="00000000">
        <w:rPr>
          <w:rFonts w:ascii="Arial" w:cs="Arial" w:eastAsia="Arial" w:hAnsi="Arial"/>
          <w:color w:val="000000"/>
          <w:sz w:val="24"/>
          <w:szCs w:val="24"/>
          <w:rtl w:val="0"/>
        </w:rPr>
        <w:t xml:space="preserve">receipt of the Suppliers breakdown and evidence, the Buyer shall either:</w:t>
      </w:r>
      <w:r w:rsidDel="00000000" w:rsidR="00000000" w:rsidRPr="00000000">
        <w:rPr>
          <w:rtl w:val="0"/>
        </w:rPr>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r w:rsidDel="00000000" w:rsidR="00000000" w:rsidRPr="00000000">
        <w:rPr>
          <w:rtl w:val="0"/>
        </w:rPr>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ab/>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E">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r>
  </w:p>
  <w:p w:rsidR="00000000" w:rsidDel="00000000" w:rsidP="00000000" w:rsidRDefault="00000000" w:rsidRPr="00000000" w14:paraId="0000005F">
    <w:pPr>
      <w:tabs>
        <w:tab w:val="center" w:leader="none" w:pos="4513"/>
        <w:tab w:val="right" w:leader="none" w:pos="9026"/>
      </w:tabs>
      <w:spacing w:after="0" w:line="276"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Project Version: v3.0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bookmarkStart w:colFirst="0" w:colLast="0" w:name="bookmark=id.2s8eyo1" w:id="8"/>
    <w:bookmarkEnd w:id="8"/>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0">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61">
    <w:pPr>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bookmarkStart w:colFirst="0" w:colLast="0" w:name="_heading=h.1t3h5sf" w:id="7"/>
    <w:bookmarkEnd w:id="7"/>
    <w:r w:rsidDel="00000000" w:rsidR="00000000" w:rsidRPr="00000000">
      <w:rPr>
        <w:rFonts w:ascii="Arial" w:cs="Arial" w:eastAsia="Arial" w:hAnsi="Arial"/>
        <w:b w:val="1"/>
        <w:color w:val="000000"/>
        <w:sz w:val="20"/>
        <w:szCs w:val="20"/>
        <w:rtl w:val="0"/>
      </w:rPr>
      <w:t xml:space="preserve">Call-Off Schedule</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highlight w:val="white"/>
        <w:rtl w:val="0"/>
      </w:rPr>
      <w:t xml:space="preserve">25</w:t>
    </w:r>
    <w:r w:rsidDel="00000000" w:rsidR="00000000" w:rsidRPr="00000000">
      <w:rPr>
        <w:rFonts w:ascii="Arial" w:cs="Arial" w:eastAsia="Arial" w:hAnsi="Arial"/>
        <w:b w:val="1"/>
        <w:color w:val="000000"/>
        <w:sz w:val="20"/>
        <w:szCs w:val="20"/>
        <w:rtl w:val="0"/>
      </w:rPr>
      <w:t xml:space="preserve"> (Billable Works and Projects) </w:t>
    </w:r>
  </w:p>
  <w:p w:rsidR="00000000" w:rsidDel="00000000" w:rsidP="00000000" w:rsidRDefault="00000000" w:rsidRPr="00000000" w14:paraId="00000058">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59">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9" w:hanging="864.000000000000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0" w:before="480"/>
      <w:outlineLvl w:val="0"/>
    </w:pPr>
    <w:rPr>
      <w:rFonts w:ascii="Cambria" w:cs="Cambria" w:eastAsia="Cambria" w:hAnsi="Cambria"/>
      <w:b w:val="1"/>
      <w:color w:val="366091"/>
      <w:sz w:val="28"/>
      <w:szCs w:val="28"/>
    </w:rPr>
  </w:style>
  <w:style w:type="paragraph" w:styleId="Heading2">
    <w:name w:val="heading 2"/>
    <w:basedOn w:val="Normal"/>
    <w:next w:val="Normal"/>
    <w:uiPriority w:val="9"/>
    <w:semiHidden w:val="1"/>
    <w:unhideWhenUsed w:val="1"/>
    <w:qFormat w:val="1"/>
    <w:pPr>
      <w:keepNext w:val="1"/>
      <w:keepLines w:val="1"/>
      <w:spacing w:after="0" w:before="200"/>
      <w:outlineLvl w:val="1"/>
    </w:pPr>
    <w:rPr>
      <w:rFonts w:ascii="Cambria" w:cs="Cambria" w:eastAsia="Cambria" w:hAnsi="Cambria"/>
      <w:b w:val="1"/>
      <w:color w:val="4f81bd"/>
      <w:sz w:val="26"/>
      <w:szCs w:val="26"/>
    </w:rPr>
  </w:style>
  <w:style w:type="paragraph" w:styleId="Heading3">
    <w:name w:val="heading 3"/>
    <w:basedOn w:val="Normal"/>
    <w:next w:val="Normal"/>
    <w:uiPriority w:val="9"/>
    <w:semiHidden w:val="1"/>
    <w:unhideWhenUsed w:val="1"/>
    <w:qFormat w:val="1"/>
    <w:pPr>
      <w:keepNext w:val="1"/>
      <w:keepLines w:val="1"/>
      <w:spacing w:after="0" w:before="200"/>
      <w:outlineLvl w:val="2"/>
    </w:pPr>
    <w:rPr>
      <w:rFonts w:ascii="Cambria" w:cs="Cambria" w:eastAsia="Cambria" w:hAnsi="Cambria"/>
      <w:b w:val="1"/>
      <w:color w:val="4f81bd"/>
    </w:rPr>
  </w:style>
  <w:style w:type="paragraph" w:styleId="Heading4">
    <w:name w:val="heading 4"/>
    <w:basedOn w:val="Normal"/>
    <w:next w:val="Normal"/>
    <w:uiPriority w:val="9"/>
    <w:semiHidden w:val="1"/>
    <w:unhideWhenUsed w:val="1"/>
    <w:qFormat w:val="1"/>
    <w:pPr>
      <w:keepNext w:val="1"/>
      <w:keepLines w:val="1"/>
      <w:spacing w:after="0" w:before="200"/>
      <w:outlineLvl w:val="3"/>
    </w:pPr>
    <w:rPr>
      <w:rFonts w:ascii="Cambria" w:cs="Cambria" w:eastAsia="Cambria" w:hAnsi="Cambria"/>
      <w:b w:val="1"/>
      <w:i w:val="1"/>
      <w:color w:val="4f81bd"/>
    </w:rPr>
  </w:style>
  <w:style w:type="paragraph" w:styleId="Heading5">
    <w:name w:val="heading 5"/>
    <w:basedOn w:val="Normal"/>
    <w:next w:val="Normal"/>
    <w:uiPriority w:val="9"/>
    <w:semiHidden w:val="1"/>
    <w:unhideWhenUsed w:val="1"/>
    <w:qFormat w:val="1"/>
    <w:pPr>
      <w:ind w:left="4320" w:hanging="720"/>
      <w:outlineLvl w:val="4"/>
    </w:pPr>
    <w:rPr>
      <w:rFonts w:ascii="Times New Roman" w:cs="Times New Roman" w:eastAsia="Times New Roman" w:hAnsi="Times New Roman"/>
    </w:rPr>
  </w:style>
  <w:style w:type="paragraph" w:styleId="Heading6">
    <w:name w:val="heading 6"/>
    <w:basedOn w:val="Normal"/>
    <w:next w:val="Normal"/>
    <w:uiPriority w:val="9"/>
    <w:semiHidden w:val="1"/>
    <w:unhideWhenUsed w:val="1"/>
    <w:qFormat w:val="1"/>
    <w:pPr>
      <w:spacing w:line="360" w:lineRule="auto"/>
      <w:ind w:left="4320" w:hanging="720"/>
      <w:outlineLvl w:val="5"/>
    </w:pPr>
    <w:rPr>
      <w:rFonts w:ascii="Times New Roman" w:cs="Times New Roman" w:eastAsia="Times New Roman" w:hAnsi="Times New Roma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Revision">
    <w:name w:val="Revision"/>
    <w:hidden w:val="1"/>
    <w:uiPriority w:val="99"/>
    <w:semiHidden w:val="1"/>
    <w:rsid w:val="00073E5A"/>
    <w:pPr>
      <w:spacing w:after="0"/>
      <w:jc w:val="left"/>
    </w:pPr>
  </w:style>
  <w:style w:type="paragraph" w:styleId="CommentSubject">
    <w:name w:val="annotation subject"/>
    <w:basedOn w:val="CommentText"/>
    <w:next w:val="CommentText"/>
    <w:link w:val="CommentSubjectChar"/>
    <w:uiPriority w:val="99"/>
    <w:semiHidden w:val="1"/>
    <w:unhideWhenUsed w:val="1"/>
    <w:rsid w:val="00073E5A"/>
    <w:rPr>
      <w:b w:val="1"/>
      <w:bCs w:val="1"/>
    </w:rPr>
  </w:style>
  <w:style w:type="character" w:styleId="CommentSubjectChar" w:customStyle="1">
    <w:name w:val="Comment Subject Char"/>
    <w:basedOn w:val="CommentTextChar"/>
    <w:link w:val="CommentSubject"/>
    <w:uiPriority w:val="99"/>
    <w:semiHidden w:val="1"/>
    <w:rsid w:val="00073E5A"/>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MqisOsRPjjxSTG0YcM5uID79kQ==">CgMxLjAyCGguZ2pkZ3hzMgloLjMwajB6bGwyCWguMWZvYjl0ZTIJaC4zem55c2g3MgloLjJldDkycDAyCGgudHlqY3d0MgloLjNkeTZ2a20yCWguMXQzaDVzZjIKaWQuMnM4ZXlvMTIJaC40ZDM0b2c4OAByITFDS0t5VkRKTXBsd2hQa1FYSnlxSE1acUdpRFdNNDdaSg==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2023-07-14T14:35:00Z</dcterms:created>
  <dc:creator>Pauline Hanratty</dc:creator>
</cp:coreProperties>
</file>